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7601"/>
      </w:tblGrid>
      <w:tr w:rsidR="00592599" w:rsidRPr="00995CDC" w14:paraId="31C7E934" w14:textId="77777777" w:rsidTr="00592599">
        <w:tc>
          <w:tcPr>
            <w:tcW w:w="1129" w:type="dxa"/>
          </w:tcPr>
          <w:p w14:paraId="0C8C9B38" w14:textId="77777777" w:rsidR="00592599" w:rsidRPr="00995CDC" w:rsidRDefault="00592599" w:rsidP="00101260">
            <w:pPr>
              <w:spacing w:before="240"/>
              <w:rPr>
                <w:b/>
                <w:bCs/>
              </w:rPr>
            </w:pPr>
            <w:r>
              <w:rPr>
                <w:b/>
                <w:bCs/>
                <w:lang w:val="fr"/>
              </w:rPr>
              <w:t>DATE :</w:t>
            </w:r>
          </w:p>
          <w:p w14:paraId="092B5956" w14:textId="77777777" w:rsidR="00DF1896" w:rsidRPr="00995CDC" w:rsidRDefault="00DF1896">
            <w:pPr>
              <w:rPr>
                <w:b/>
                <w:bCs/>
              </w:rPr>
            </w:pPr>
          </w:p>
        </w:tc>
        <w:tc>
          <w:tcPr>
            <w:tcW w:w="8221" w:type="dxa"/>
          </w:tcPr>
          <w:p w14:paraId="5F0EEF3D" w14:textId="77777777" w:rsidR="00592599" w:rsidRDefault="00592599">
            <w:pPr>
              <w:rPr>
                <w:b/>
                <w:bCs/>
              </w:rPr>
            </w:pPr>
          </w:p>
          <w:p w14:paraId="5AFCDD70" w14:textId="77777777" w:rsidR="00EC1F5A" w:rsidRPr="00EC1F5A" w:rsidRDefault="00EC1F5A" w:rsidP="00EC1F5A">
            <w:r>
              <w:rPr>
                <w:lang w:val="fr"/>
              </w:rPr>
              <w:t>6 juin 2023</w:t>
            </w:r>
          </w:p>
        </w:tc>
      </w:tr>
      <w:tr w:rsidR="00592599" w:rsidRPr="00995CDC" w14:paraId="4334D479" w14:textId="77777777" w:rsidTr="00592599">
        <w:tc>
          <w:tcPr>
            <w:tcW w:w="1129" w:type="dxa"/>
          </w:tcPr>
          <w:p w14:paraId="5D4A4FB9" w14:textId="77777777" w:rsidR="00592599" w:rsidRPr="00995CDC" w:rsidRDefault="00592599">
            <w:pPr>
              <w:rPr>
                <w:b/>
                <w:bCs/>
              </w:rPr>
            </w:pPr>
            <w:r>
              <w:rPr>
                <w:b/>
                <w:bCs/>
                <w:lang w:val="fr"/>
              </w:rPr>
              <w:t>DESTINATAIRES :</w:t>
            </w:r>
          </w:p>
          <w:p w14:paraId="06E15243" w14:textId="77777777" w:rsidR="00DF1896" w:rsidRPr="00995CDC" w:rsidRDefault="00DF1896">
            <w:pPr>
              <w:rPr>
                <w:b/>
                <w:bCs/>
              </w:rPr>
            </w:pPr>
          </w:p>
        </w:tc>
        <w:tc>
          <w:tcPr>
            <w:tcW w:w="8221" w:type="dxa"/>
          </w:tcPr>
          <w:p w14:paraId="0D1D96F4" w14:textId="77777777" w:rsidR="00336CAF" w:rsidRPr="0034278E" w:rsidRDefault="0034278E" w:rsidP="005D6983">
            <w:pPr>
              <w:rPr>
                <w:b/>
                <w:bCs/>
              </w:rPr>
            </w:pPr>
            <w:r>
              <w:rPr>
                <w:b/>
                <w:bCs/>
                <w:lang w:val="fr"/>
              </w:rPr>
              <w:t>CANDIDATS POTENTIELS</w:t>
            </w:r>
          </w:p>
        </w:tc>
      </w:tr>
      <w:tr w:rsidR="00592599" w:rsidRPr="00995CDC" w14:paraId="332EF899" w14:textId="77777777" w:rsidTr="00DF1896">
        <w:tc>
          <w:tcPr>
            <w:tcW w:w="1129" w:type="dxa"/>
          </w:tcPr>
          <w:p w14:paraId="5CC80AE2" w14:textId="77777777" w:rsidR="00592599" w:rsidRPr="00995CDC" w:rsidRDefault="00592599">
            <w:pPr>
              <w:rPr>
                <w:b/>
                <w:bCs/>
              </w:rPr>
            </w:pPr>
            <w:r>
              <w:rPr>
                <w:b/>
                <w:bCs/>
                <w:lang w:val="fr"/>
              </w:rPr>
              <w:t>EXPÉDITEUR :</w:t>
            </w:r>
          </w:p>
          <w:p w14:paraId="015673A5" w14:textId="77777777" w:rsidR="00DF1896" w:rsidRPr="00995CDC" w:rsidRDefault="00DF1896">
            <w:pPr>
              <w:rPr>
                <w:b/>
                <w:bCs/>
              </w:rPr>
            </w:pPr>
          </w:p>
        </w:tc>
        <w:tc>
          <w:tcPr>
            <w:tcW w:w="8221" w:type="dxa"/>
          </w:tcPr>
          <w:p w14:paraId="6C9F37DD" w14:textId="77777777" w:rsidR="00592599" w:rsidRPr="00336CAF" w:rsidRDefault="00336CAF">
            <w:r>
              <w:rPr>
                <w:lang w:val="fr"/>
              </w:rPr>
              <w:t>Directeur général des élections</w:t>
            </w:r>
          </w:p>
        </w:tc>
      </w:tr>
      <w:tr w:rsidR="00592599" w:rsidRPr="00995CDC" w14:paraId="214054FD" w14:textId="77777777" w:rsidTr="00DF1896">
        <w:tc>
          <w:tcPr>
            <w:tcW w:w="1129" w:type="dxa"/>
            <w:tcBorders>
              <w:bottom w:val="single" w:sz="4" w:space="0" w:color="auto"/>
            </w:tcBorders>
          </w:tcPr>
          <w:p w14:paraId="2C03C666" w14:textId="77777777" w:rsidR="00592599" w:rsidRPr="00995CDC" w:rsidRDefault="00592599">
            <w:pPr>
              <w:rPr>
                <w:b/>
                <w:bCs/>
              </w:rPr>
            </w:pPr>
            <w:r>
              <w:rPr>
                <w:b/>
                <w:bCs/>
                <w:lang w:val="fr"/>
              </w:rPr>
              <w:t>OBJET :</w:t>
            </w:r>
          </w:p>
          <w:p w14:paraId="27DEEF1A" w14:textId="77777777" w:rsidR="00DF1896" w:rsidRPr="00995CDC" w:rsidRDefault="00DF1896">
            <w:pPr>
              <w:rPr>
                <w:b/>
                <w:bCs/>
              </w:rPr>
            </w:pPr>
          </w:p>
        </w:tc>
        <w:tc>
          <w:tcPr>
            <w:tcW w:w="8221" w:type="dxa"/>
            <w:tcBorders>
              <w:bottom w:val="single" w:sz="4" w:space="0" w:color="auto"/>
            </w:tcBorders>
          </w:tcPr>
          <w:p w14:paraId="2E878D31" w14:textId="77777777" w:rsidR="00336CAF" w:rsidRPr="00B86A56" w:rsidRDefault="0034278E">
            <w:r>
              <w:rPr>
                <w:lang w:val="fr"/>
              </w:rPr>
              <w:t>DÉPENSES ÉLECTORALES ET REMBOURSEMENT</w:t>
            </w:r>
          </w:p>
        </w:tc>
      </w:tr>
    </w:tbl>
    <w:p w14:paraId="3C092CA0" w14:textId="77777777" w:rsidR="00592599" w:rsidRDefault="00592599"/>
    <w:p w14:paraId="4701D13D" w14:textId="27C7487E" w:rsidR="0034278E" w:rsidRPr="00082DA0" w:rsidRDefault="0034278E">
      <w:pPr>
        <w:rPr>
          <w:lang w:val="fr-FR"/>
        </w:rPr>
      </w:pPr>
      <w:r>
        <w:rPr>
          <w:lang w:val="fr"/>
        </w:rPr>
        <w:t xml:space="preserve">En vertu de l’article 250 de la </w:t>
      </w:r>
      <w:r>
        <w:rPr>
          <w:i/>
          <w:iCs/>
          <w:lang w:val="fr"/>
        </w:rPr>
        <w:t>Loi sur les élections et les référendums</w:t>
      </w:r>
      <w:r>
        <w:rPr>
          <w:lang w:val="fr"/>
        </w:rPr>
        <w:t>, le directeur général des élections peut formuler des instructions concernant les dépenses électorales qui peuvent être payées en période préélectorale par la personne qui devient candidat et les dépenses électorales payées pendant la période préélectorale pour lesquelles l’agent officiel peut rembourser le candidat à même les contributions recueillies.</w:t>
      </w:r>
    </w:p>
    <w:p w14:paraId="2BC4E635" w14:textId="20F9C0CF" w:rsidR="0034278E" w:rsidRPr="00082DA0" w:rsidRDefault="0034278E">
      <w:pPr>
        <w:rPr>
          <w:lang w:val="fr-FR"/>
        </w:rPr>
      </w:pPr>
      <w:r>
        <w:rPr>
          <w:lang w:val="fr"/>
        </w:rPr>
        <w:t xml:space="preserve">Bien que le directeur général des élections se réserve le droit de prendre des décisions au cas par cas, de façon générale, un agent officiel peut rembourser un candidat, à même les contributions recueillies, </w:t>
      </w:r>
      <w:r w:rsidR="00395663">
        <w:rPr>
          <w:lang w:val="fr"/>
        </w:rPr>
        <w:t>pour</w:t>
      </w:r>
      <w:r w:rsidR="00C61E68">
        <w:rPr>
          <w:lang w:val="fr"/>
        </w:rPr>
        <w:t xml:space="preserve"> </w:t>
      </w:r>
      <w:r>
        <w:rPr>
          <w:lang w:val="fr"/>
        </w:rPr>
        <w:t>toute dépense électorale payée pendant la période préélectorale en vue de favoriser l’élection du candidat</w:t>
      </w:r>
      <w:r w:rsidR="00C61E68">
        <w:rPr>
          <w:lang w:val="fr"/>
        </w:rPr>
        <w:t>.</w:t>
      </w:r>
    </w:p>
    <w:p w14:paraId="3BC038F3" w14:textId="3CBD93AC" w:rsidR="0034278E" w:rsidRPr="00082DA0" w:rsidRDefault="0034278E">
      <w:pPr>
        <w:rPr>
          <w:lang w:val="fr-FR"/>
        </w:rPr>
      </w:pPr>
      <w:r>
        <w:rPr>
          <w:lang w:val="fr"/>
        </w:rPr>
        <w:t>Le remboursement est possible</w:t>
      </w:r>
      <w:r w:rsidR="00BB04A7">
        <w:rPr>
          <w:lang w:val="fr"/>
        </w:rPr>
        <w:t>,</w:t>
      </w:r>
      <w:r>
        <w:rPr>
          <w:lang w:val="fr"/>
        </w:rPr>
        <w:t xml:space="preserve"> peu importe le résultat de l’élection.</w:t>
      </w:r>
    </w:p>
    <w:p w14:paraId="585596DF" w14:textId="77777777" w:rsidR="0034278E" w:rsidRPr="00082DA0" w:rsidRDefault="0034278E">
      <w:pPr>
        <w:rPr>
          <w:lang w:val="fr-FR"/>
        </w:rPr>
      </w:pPr>
      <w:r>
        <w:rPr>
          <w:lang w:val="fr"/>
        </w:rPr>
        <w:t>Vous trouverez ci-dessous une liste des dépenses électorales typiques admissibles à un remboursement. Il ne s’agit pas d’une liste exhaustive ou restrictive, mais plutôt d’un exemple pour plus de clarté.</w:t>
      </w:r>
    </w:p>
    <w:p w14:paraId="6689C59F" w14:textId="77777777" w:rsidR="0007088D" w:rsidRPr="00082DA0" w:rsidRDefault="0034278E" w:rsidP="0034278E">
      <w:pPr>
        <w:pStyle w:val="ListParagraph"/>
        <w:numPr>
          <w:ilvl w:val="0"/>
          <w:numId w:val="1"/>
        </w:numPr>
        <w:rPr>
          <w:lang w:val="fr-FR"/>
        </w:rPr>
      </w:pPr>
      <w:r>
        <w:rPr>
          <w:lang w:val="fr"/>
        </w:rPr>
        <w:t>Publicité sur les médias traditionnels ou sociaux</w:t>
      </w:r>
    </w:p>
    <w:p w14:paraId="4E6F5215" w14:textId="77777777" w:rsidR="0034278E" w:rsidRPr="00082DA0" w:rsidRDefault="0034278E" w:rsidP="0034278E">
      <w:pPr>
        <w:pStyle w:val="ListParagraph"/>
        <w:numPr>
          <w:ilvl w:val="0"/>
          <w:numId w:val="1"/>
        </w:numPr>
        <w:rPr>
          <w:lang w:val="fr-FR"/>
        </w:rPr>
      </w:pPr>
      <w:r>
        <w:rPr>
          <w:lang w:val="fr"/>
        </w:rPr>
        <w:t>Frais raisonnables de transport, d’hébergement ou de repas d’un candidat</w:t>
      </w:r>
    </w:p>
    <w:p w14:paraId="1FACC9FF" w14:textId="77777777" w:rsidR="0034278E" w:rsidRPr="00082DA0" w:rsidRDefault="0034278E" w:rsidP="0034278E">
      <w:pPr>
        <w:pStyle w:val="ListParagraph"/>
        <w:numPr>
          <w:ilvl w:val="0"/>
          <w:numId w:val="1"/>
        </w:numPr>
        <w:rPr>
          <w:lang w:val="fr-FR"/>
        </w:rPr>
      </w:pPr>
      <w:r>
        <w:rPr>
          <w:lang w:val="fr"/>
        </w:rPr>
        <w:t>Dépenses personnelles raisonnables, y compris les frais de garde d’enfants</w:t>
      </w:r>
    </w:p>
    <w:p w14:paraId="42CDF15C" w14:textId="77777777" w:rsidR="0034278E" w:rsidRPr="00082DA0" w:rsidRDefault="0034278E" w:rsidP="0034278E">
      <w:pPr>
        <w:pStyle w:val="ListParagraph"/>
        <w:numPr>
          <w:ilvl w:val="0"/>
          <w:numId w:val="1"/>
        </w:numPr>
        <w:rPr>
          <w:lang w:val="fr-FR"/>
        </w:rPr>
      </w:pPr>
      <w:r>
        <w:rPr>
          <w:lang w:val="fr"/>
        </w:rPr>
        <w:t>Location de bureaux, y compris le matériel de bureau, les fournitures et les services publics</w:t>
      </w:r>
    </w:p>
    <w:p w14:paraId="71B13953" w14:textId="77777777" w:rsidR="0034278E" w:rsidRPr="00082DA0" w:rsidRDefault="0034278E" w:rsidP="0034278E">
      <w:pPr>
        <w:pStyle w:val="ListParagraph"/>
        <w:numPr>
          <w:ilvl w:val="0"/>
          <w:numId w:val="1"/>
        </w:numPr>
        <w:rPr>
          <w:lang w:val="fr-FR"/>
        </w:rPr>
      </w:pPr>
      <w:r>
        <w:rPr>
          <w:lang w:val="fr"/>
        </w:rPr>
        <w:t>Création, hébergement et maintenance de sites Web</w:t>
      </w:r>
    </w:p>
    <w:p w14:paraId="36F11C5D" w14:textId="77777777" w:rsidR="0034278E" w:rsidRPr="00082DA0" w:rsidRDefault="0034278E" w:rsidP="0034278E">
      <w:pPr>
        <w:pStyle w:val="ListParagraph"/>
        <w:numPr>
          <w:ilvl w:val="0"/>
          <w:numId w:val="1"/>
        </w:numPr>
        <w:rPr>
          <w:lang w:val="fr-FR"/>
        </w:rPr>
      </w:pPr>
      <w:r>
        <w:rPr>
          <w:lang w:val="fr"/>
        </w:rPr>
        <w:t>Affiches, dépliants, brochures, lettres, cartes ou autre matériel promotionnel</w:t>
      </w:r>
    </w:p>
    <w:p w14:paraId="5AD9F553" w14:textId="77777777" w:rsidR="0034278E" w:rsidRPr="00082DA0" w:rsidRDefault="0034278E" w:rsidP="0034278E">
      <w:pPr>
        <w:pStyle w:val="ListParagraph"/>
        <w:numPr>
          <w:ilvl w:val="0"/>
          <w:numId w:val="1"/>
        </w:numPr>
        <w:rPr>
          <w:lang w:val="fr-FR"/>
        </w:rPr>
      </w:pPr>
      <w:r>
        <w:rPr>
          <w:lang w:val="fr"/>
        </w:rPr>
        <w:t>Frais de location d’un véhicule ou frais d’utilisation d’un véhicule privé</w:t>
      </w:r>
    </w:p>
    <w:p w14:paraId="76A54D50" w14:textId="77777777" w:rsidR="0034278E" w:rsidRPr="00082DA0" w:rsidRDefault="0034278E" w:rsidP="0034278E">
      <w:pPr>
        <w:pStyle w:val="ListParagraph"/>
        <w:numPr>
          <w:ilvl w:val="0"/>
          <w:numId w:val="1"/>
        </w:numPr>
        <w:rPr>
          <w:lang w:val="fr-FR"/>
        </w:rPr>
      </w:pPr>
      <w:r>
        <w:rPr>
          <w:lang w:val="fr"/>
        </w:rPr>
        <w:t>Panneaux, bannières, bois d’œuvre et autres supports structurels</w:t>
      </w:r>
    </w:p>
    <w:p w14:paraId="3E93DFF0" w14:textId="77777777" w:rsidR="0034278E" w:rsidRPr="00082DA0" w:rsidRDefault="0034278E" w:rsidP="0034278E">
      <w:pPr>
        <w:pStyle w:val="ListParagraph"/>
        <w:numPr>
          <w:ilvl w:val="0"/>
          <w:numId w:val="1"/>
        </w:numPr>
        <w:rPr>
          <w:lang w:val="fr-FR"/>
        </w:rPr>
      </w:pPr>
      <w:r>
        <w:rPr>
          <w:lang w:val="fr"/>
        </w:rPr>
        <w:t>Envoi postal ou autre distribution de matériel électoral</w:t>
      </w:r>
    </w:p>
    <w:p w14:paraId="4A02C6FD" w14:textId="77777777" w:rsidR="0034278E" w:rsidRPr="00082DA0" w:rsidRDefault="0034278E" w:rsidP="0034278E">
      <w:pPr>
        <w:pStyle w:val="ListParagraph"/>
        <w:numPr>
          <w:ilvl w:val="0"/>
          <w:numId w:val="1"/>
        </w:numPr>
        <w:rPr>
          <w:lang w:val="fr-FR"/>
        </w:rPr>
      </w:pPr>
      <w:r>
        <w:rPr>
          <w:lang w:val="fr"/>
        </w:rPr>
        <w:t>Intérêts raisonnables payés sur les prêts opérationnels</w:t>
      </w:r>
    </w:p>
    <w:p w14:paraId="6798B8B7" w14:textId="77777777" w:rsidR="0034278E" w:rsidRPr="00082DA0" w:rsidRDefault="0034278E" w:rsidP="0034278E">
      <w:pPr>
        <w:pStyle w:val="ListParagraph"/>
        <w:numPr>
          <w:ilvl w:val="0"/>
          <w:numId w:val="1"/>
        </w:numPr>
        <w:rPr>
          <w:lang w:val="fr-FR"/>
        </w:rPr>
      </w:pPr>
      <w:r>
        <w:rPr>
          <w:lang w:val="fr"/>
        </w:rPr>
        <w:t>Sondages, y compris la conception et l’analyse</w:t>
      </w:r>
    </w:p>
    <w:p w14:paraId="68F33864" w14:textId="72BB81E0" w:rsidR="0034278E" w:rsidRPr="00082DA0" w:rsidRDefault="0034278E" w:rsidP="0034278E">
      <w:pPr>
        <w:rPr>
          <w:lang w:val="fr-FR"/>
        </w:rPr>
      </w:pPr>
      <w:r>
        <w:rPr>
          <w:lang w:val="fr"/>
        </w:rPr>
        <w:t xml:space="preserve">Toutes les dépenses </w:t>
      </w:r>
      <w:r w:rsidR="00C61E68">
        <w:rPr>
          <w:lang w:val="fr"/>
        </w:rPr>
        <w:t>engagé</w:t>
      </w:r>
      <w:r w:rsidR="00117F41">
        <w:rPr>
          <w:lang w:val="fr"/>
        </w:rPr>
        <w:t>es</w:t>
      </w:r>
      <w:r w:rsidR="00C61E68">
        <w:rPr>
          <w:lang w:val="fr"/>
        </w:rPr>
        <w:t xml:space="preserve"> pendant </w:t>
      </w:r>
      <w:r>
        <w:rPr>
          <w:lang w:val="fr"/>
        </w:rPr>
        <w:t>la période préélectorale doivent être prouvées par une facture indiquant les détails des dépenses. La preuve de paiement est soumise par l’agent officiel au directeur général des élections dans le cadre du rapport financier du candidat.</w:t>
      </w:r>
    </w:p>
    <w:p w14:paraId="55C75474" w14:textId="27320490" w:rsidR="00DF1896" w:rsidRPr="00082DA0" w:rsidRDefault="0034278E" w:rsidP="005A40A1">
      <w:pPr>
        <w:rPr>
          <w:lang w:val="fr-FR"/>
        </w:rPr>
      </w:pPr>
      <w:r>
        <w:rPr>
          <w:lang w:val="fr"/>
        </w:rPr>
        <w:lastRenderedPageBreak/>
        <w:t xml:space="preserve">Toutes les dépenses engagées pendant la période préélectorale précédant la présentation des actes de candidature du candidat sont incluses dans le montant maximal de 30 000 $ qui peut être dépensé pour promouvoir </w:t>
      </w:r>
      <w:r w:rsidR="00C61E68">
        <w:rPr>
          <w:lang w:val="fr"/>
        </w:rPr>
        <w:t xml:space="preserve">la candidature </w:t>
      </w:r>
      <w:r>
        <w:rPr>
          <w:lang w:val="fr"/>
        </w:rPr>
        <w:t xml:space="preserve">d’une personne. </w:t>
      </w:r>
    </w:p>
    <w:sectPr w:rsidR="00DF1896" w:rsidRPr="00082D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8A24" w14:textId="77777777" w:rsidR="00FD2200" w:rsidRDefault="00FD2200" w:rsidP="00592599">
      <w:pPr>
        <w:spacing w:after="0" w:line="240" w:lineRule="auto"/>
      </w:pPr>
      <w:r>
        <w:separator/>
      </w:r>
    </w:p>
  </w:endnote>
  <w:endnote w:type="continuationSeparator" w:id="0">
    <w:p w14:paraId="4CD25D08" w14:textId="77777777" w:rsidR="00FD2200" w:rsidRDefault="00FD2200" w:rsidP="0059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D3E2" w14:textId="77777777" w:rsidR="00117F41" w:rsidRDefault="00117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7BFC" w14:textId="77777777" w:rsidR="00101260" w:rsidRPr="00082DA0" w:rsidRDefault="00101260">
    <w:pPr>
      <w:pStyle w:val="Footer"/>
      <w:rPr>
        <w:lang w:val="fr-FR"/>
      </w:rPr>
    </w:pPr>
    <w:r>
      <w:rPr>
        <w:lang w:val="fr"/>
      </w:rPr>
      <w:t>Numéro de l’instruction : DGE/INST 23-03</w:t>
    </w:r>
  </w:p>
  <w:p w14:paraId="53F2445E" w14:textId="77777777" w:rsidR="00101260" w:rsidRDefault="00395663" w:rsidP="00101260">
    <w:pPr>
      <w:pStyle w:val="Footer"/>
    </w:pPr>
    <w:r>
      <w:rPr>
        <w:noProof/>
        <w:lang w:val="fr"/>
      </w:rPr>
      <w:pict w14:anchorId="4C98E726">
        <v:line id="Straight Connector 3" o:spid="_x0000_s1025"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6.6pt" to="644.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" strokecolor="#1591a1" strokeweight="6pt">
          <w10:wrap anchorx="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A4F1" w14:textId="77777777" w:rsidR="00117F41" w:rsidRDefault="0011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1ECC" w14:textId="77777777" w:rsidR="00FD2200" w:rsidRDefault="00FD2200" w:rsidP="00592599">
      <w:pPr>
        <w:spacing w:after="0" w:line="240" w:lineRule="auto"/>
      </w:pPr>
      <w:r>
        <w:separator/>
      </w:r>
    </w:p>
  </w:footnote>
  <w:footnote w:type="continuationSeparator" w:id="0">
    <w:p w14:paraId="1BB2E810" w14:textId="77777777" w:rsidR="00FD2200" w:rsidRDefault="00FD2200" w:rsidP="0059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3D3" w14:textId="77777777" w:rsidR="00117F41" w:rsidRDefault="00117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8E9C" w14:textId="77777777" w:rsidR="00592599" w:rsidRDefault="00395663" w:rsidP="00592599">
    <w:pPr>
      <w:pStyle w:val="Header"/>
      <w:jc w:val="center"/>
    </w:pPr>
    <w:r>
      <w:rPr>
        <w:noProof/>
        <w:lang w:val="fr"/>
      </w:rPr>
      <w:pict w14:anchorId="7E498BD6">
        <v:line id="Straight Connector 2" o:spid="_x0000_s1026" style="position:absolute;left:0;text-align:lef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pt" to="64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" strokecolor="#1591a1" strokeweight="6pt">
          <w10:wrap anchorx="page"/>
        </v:line>
      </w:pict>
    </w:r>
    <w:r w:rsidR="00592599">
      <w:rPr>
        <w:noProof/>
        <w:lang w:val="fr"/>
      </w:rPr>
      <w:drawing>
        <wp:inline distT="0" distB="0" distL="0" distR="0" wp14:anchorId="66867C1D" wp14:editId="5054499D">
          <wp:extent cx="3992606" cy="801183"/>
          <wp:effectExtent l="0" t="0" r="0" b="0"/>
          <wp:docPr id="1"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5923" cy="803855"/>
                  </a:xfrm>
                  <a:prstGeom prst="rect">
                    <a:avLst/>
                  </a:prstGeom>
                </pic:spPr>
              </pic:pic>
            </a:graphicData>
          </a:graphic>
        </wp:inline>
      </w:drawing>
    </w:r>
  </w:p>
  <w:p w14:paraId="022EB59E" w14:textId="77777777" w:rsidR="00592599" w:rsidRPr="00082DA0" w:rsidRDefault="00592599" w:rsidP="00592599">
    <w:pPr>
      <w:pStyle w:val="Header"/>
      <w:pBdr>
        <w:top w:val="single" w:sz="4" w:space="1" w:color="auto"/>
        <w:bottom w:val="single" w:sz="4" w:space="1" w:color="auto"/>
      </w:pBdr>
      <w:jc w:val="center"/>
      <w:rPr>
        <w:sz w:val="24"/>
        <w:szCs w:val="24"/>
        <w:lang w:val="fr-FR"/>
      </w:rPr>
    </w:pPr>
    <w:r>
      <w:rPr>
        <w:b/>
        <w:bCs/>
        <w:sz w:val="28"/>
        <w:szCs w:val="24"/>
        <w:lang w:val="fr"/>
      </w:rPr>
      <w:t>Instructions du directeur général des élections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3857" w14:textId="77777777" w:rsidR="00117F41" w:rsidRDefault="0011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E73F5"/>
    <w:multiLevelType w:val="hybridMultilevel"/>
    <w:tmpl w:val="B664A6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3012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83"/>
    <w:rsid w:val="00023E50"/>
    <w:rsid w:val="0007088D"/>
    <w:rsid w:val="00082DA0"/>
    <w:rsid w:val="000A747C"/>
    <w:rsid w:val="000C1F0D"/>
    <w:rsid w:val="00101260"/>
    <w:rsid w:val="00117F41"/>
    <w:rsid w:val="00181C71"/>
    <w:rsid w:val="002030A6"/>
    <w:rsid w:val="002D6652"/>
    <w:rsid w:val="00336CAF"/>
    <w:rsid w:val="0034278E"/>
    <w:rsid w:val="00367295"/>
    <w:rsid w:val="00395663"/>
    <w:rsid w:val="003F152B"/>
    <w:rsid w:val="00466C38"/>
    <w:rsid w:val="004B784A"/>
    <w:rsid w:val="005710AF"/>
    <w:rsid w:val="00592599"/>
    <w:rsid w:val="005A40A1"/>
    <w:rsid w:val="005D6983"/>
    <w:rsid w:val="00626438"/>
    <w:rsid w:val="007144B7"/>
    <w:rsid w:val="00746DB0"/>
    <w:rsid w:val="0080035E"/>
    <w:rsid w:val="008E66E3"/>
    <w:rsid w:val="00995CDC"/>
    <w:rsid w:val="009D33E6"/>
    <w:rsid w:val="00A519BA"/>
    <w:rsid w:val="00A8681E"/>
    <w:rsid w:val="00B34998"/>
    <w:rsid w:val="00B57ADD"/>
    <w:rsid w:val="00B86A56"/>
    <w:rsid w:val="00BB04A7"/>
    <w:rsid w:val="00C61E68"/>
    <w:rsid w:val="00CC14A1"/>
    <w:rsid w:val="00D30020"/>
    <w:rsid w:val="00D76B53"/>
    <w:rsid w:val="00D949C6"/>
    <w:rsid w:val="00DD3524"/>
    <w:rsid w:val="00DF1896"/>
    <w:rsid w:val="00E53171"/>
    <w:rsid w:val="00E93AD6"/>
    <w:rsid w:val="00EC1F5A"/>
    <w:rsid w:val="00F471F8"/>
    <w:rsid w:val="00FC4BBC"/>
    <w:rsid w:val="00FD2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71E5"/>
  <w15:docId w15:val="{59A3642E-FB3A-4425-9D6D-A6A1A510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99"/>
  </w:style>
  <w:style w:type="paragraph" w:styleId="Footer">
    <w:name w:val="footer"/>
    <w:basedOn w:val="Normal"/>
    <w:link w:val="FooterChar"/>
    <w:uiPriority w:val="99"/>
    <w:unhideWhenUsed/>
    <w:rsid w:val="0059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99"/>
  </w:style>
  <w:style w:type="table" w:styleId="TableGrid">
    <w:name w:val="Table Grid"/>
    <w:basedOn w:val="TableNormal"/>
    <w:uiPriority w:val="39"/>
    <w:rsid w:val="0059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78E"/>
    <w:pPr>
      <w:ind w:left="720"/>
      <w:contextualSpacing/>
    </w:pPr>
  </w:style>
  <w:style w:type="paragraph" w:styleId="Revision">
    <w:name w:val="Revision"/>
    <w:hidden/>
    <w:uiPriority w:val="99"/>
    <w:semiHidden/>
    <w:rsid w:val="00E53171"/>
    <w:pPr>
      <w:spacing w:after="0" w:line="240" w:lineRule="auto"/>
    </w:pPr>
  </w:style>
  <w:style w:type="character" w:styleId="CommentReference">
    <w:name w:val="annotation reference"/>
    <w:basedOn w:val="DefaultParagraphFont"/>
    <w:uiPriority w:val="99"/>
    <w:semiHidden/>
    <w:unhideWhenUsed/>
    <w:rsid w:val="00E53171"/>
    <w:rPr>
      <w:sz w:val="16"/>
      <w:szCs w:val="16"/>
    </w:rPr>
  </w:style>
  <w:style w:type="paragraph" w:styleId="CommentText">
    <w:name w:val="annotation text"/>
    <w:basedOn w:val="Normal"/>
    <w:link w:val="CommentTextChar"/>
    <w:uiPriority w:val="99"/>
    <w:unhideWhenUsed/>
    <w:rsid w:val="00E53171"/>
    <w:pPr>
      <w:spacing w:line="240" w:lineRule="auto"/>
    </w:pPr>
    <w:rPr>
      <w:sz w:val="20"/>
      <w:szCs w:val="20"/>
    </w:rPr>
  </w:style>
  <w:style w:type="character" w:customStyle="1" w:styleId="CommentTextChar">
    <w:name w:val="Comment Text Char"/>
    <w:basedOn w:val="DefaultParagraphFont"/>
    <w:link w:val="CommentText"/>
    <w:uiPriority w:val="99"/>
    <w:rsid w:val="00E53171"/>
    <w:rPr>
      <w:sz w:val="20"/>
      <w:szCs w:val="20"/>
    </w:rPr>
  </w:style>
  <w:style w:type="paragraph" w:styleId="CommentSubject">
    <w:name w:val="annotation subject"/>
    <w:basedOn w:val="CommentText"/>
    <w:next w:val="CommentText"/>
    <w:link w:val="CommentSubjectChar"/>
    <w:uiPriority w:val="99"/>
    <w:semiHidden/>
    <w:unhideWhenUsed/>
    <w:rsid w:val="00E53171"/>
    <w:rPr>
      <w:b/>
      <w:bCs/>
    </w:rPr>
  </w:style>
  <w:style w:type="character" w:customStyle="1" w:styleId="CommentSubjectChar">
    <w:name w:val="Comment Subject Char"/>
    <w:basedOn w:val="CommentTextChar"/>
    <w:link w:val="CommentSubject"/>
    <w:uiPriority w:val="99"/>
    <w:semiHidden/>
    <w:rsid w:val="00E53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_Sibbeston\Documents\Custom%20Office%20Templates\Instruction%20of%20The%20CEO%20Template.dotx" TargetMode="External"/></Relationships>
</file>

<file path=word/theme/theme1.xml><?xml version="1.0" encoding="utf-8"?>
<a:theme xmlns:a="http://schemas.openxmlformats.org/drawingml/2006/main" name="ENWT Theme">
  <a:themeElements>
    <a:clrScheme name="Elections NWT">
      <a:dk1>
        <a:sysClr val="windowText" lastClr="000000"/>
      </a:dk1>
      <a:lt1>
        <a:sysClr val="window" lastClr="FFFFFF"/>
      </a:lt1>
      <a:dk2>
        <a:srgbClr val="7BB2BF"/>
      </a:dk2>
      <a:lt2>
        <a:srgbClr val="D8D8D8"/>
      </a:lt2>
      <a:accent1>
        <a:srgbClr val="7BB2BF"/>
      </a:accent1>
      <a:accent2>
        <a:srgbClr val="008E9E"/>
      </a:accent2>
      <a:accent3>
        <a:srgbClr val="ED1C24"/>
      </a:accent3>
      <a:accent4>
        <a:srgbClr val="464646"/>
      </a:accent4>
      <a:accent5>
        <a:srgbClr val="2F2F2E"/>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Instruction of The CEO Template</Template>
  <TotalTime>14</TotalTime>
  <Pages>2</Pages>
  <Words>372</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the Northwest Territories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Sibbeston</dc:creator>
  <cp:keywords/>
  <dc:description/>
  <cp:lastModifiedBy>Emma St-Amour</cp:lastModifiedBy>
  <cp:revision>6</cp:revision>
  <dcterms:created xsi:type="dcterms:W3CDTF">2023-06-08T16:40:00Z</dcterms:created>
  <dcterms:modified xsi:type="dcterms:W3CDTF">2023-06-08T20:17:00Z</dcterms:modified>
</cp:coreProperties>
</file>